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7D4" w:rsidRPr="008B67D4" w:rsidRDefault="008B67D4" w:rsidP="008B67D4">
      <w:pPr>
        <w:rPr>
          <w:rFonts w:ascii="Verdana" w:hAnsi="Verdana"/>
          <w:sz w:val="24"/>
          <w:szCs w:val="24"/>
        </w:rPr>
      </w:pPr>
      <w:r w:rsidRPr="008B67D4">
        <w:rPr>
          <w:rFonts w:ascii="Verdana" w:hAnsi="Verdana"/>
          <w:i/>
          <w:iCs/>
          <w:sz w:val="24"/>
          <w:szCs w:val="24"/>
        </w:rPr>
        <w:t>Bij de Buren: minder uitstoot, meer cultuur</w:t>
      </w:r>
    </w:p>
    <w:p w:rsidR="008B67D4" w:rsidRPr="008B67D4" w:rsidRDefault="008B67D4" w:rsidP="008B67D4">
      <w:pPr>
        <w:rPr>
          <w:rFonts w:ascii="Verdana" w:hAnsi="Verdana"/>
          <w:sz w:val="24"/>
          <w:szCs w:val="24"/>
        </w:rPr>
      </w:pPr>
      <w:r w:rsidRPr="008B67D4">
        <w:rPr>
          <w:rFonts w:ascii="Verdana" w:hAnsi="Verdana"/>
          <w:sz w:val="24"/>
          <w:szCs w:val="24"/>
        </w:rPr>
        <w:t>West-Vlaamse cultuurcentra planten nieuw bos</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sz w:val="24"/>
          <w:szCs w:val="24"/>
        </w:rPr>
        <w:t>Aan het einde van de Week van het Bos kondigen de West-Vlaamse cultuurhuizen een gemeenschappelijke bebossingscampagne aan. Mogelijk gemaakt dankzij het project ‘Bij de Buren’.</w:t>
      </w:r>
    </w:p>
    <w:p w:rsidR="008B67D4" w:rsidRPr="008B67D4" w:rsidRDefault="008B67D4" w:rsidP="008B67D4">
      <w:pPr>
        <w:rPr>
          <w:rFonts w:ascii="Verdana" w:hAnsi="Verdana"/>
          <w:sz w:val="24"/>
          <w:szCs w:val="24"/>
        </w:rPr>
      </w:pPr>
      <w:r w:rsidRPr="008B67D4">
        <w:rPr>
          <w:rFonts w:ascii="Verdana" w:hAnsi="Verdana"/>
          <w:sz w:val="24"/>
          <w:szCs w:val="24"/>
        </w:rPr>
        <w:t xml:space="preserve">In samenwerking met ambassadeur Wouter Deprez en BOS+ zetten dertien cultuurpartners zo binnenkort de spade in de grond voor 625m2 nieuw bos in de Vallei van de </w:t>
      </w:r>
      <w:proofErr w:type="spellStart"/>
      <w:r w:rsidRPr="008B67D4">
        <w:rPr>
          <w:rFonts w:ascii="Verdana" w:hAnsi="Verdana"/>
          <w:sz w:val="24"/>
          <w:szCs w:val="24"/>
        </w:rPr>
        <w:t>Gondebeek</w:t>
      </w:r>
      <w:proofErr w:type="spellEnd"/>
      <w:r w:rsidRPr="008B67D4">
        <w:rPr>
          <w:rFonts w:ascii="Verdana" w:hAnsi="Verdana"/>
          <w:sz w:val="24"/>
          <w:szCs w:val="24"/>
        </w:rPr>
        <w:t>. </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sz w:val="24"/>
          <w:szCs w:val="24"/>
        </w:rPr>
        <w:t xml:space="preserve">Deelnemende cultuurpartners zijn De Grote Post Oostende, Cultuurcentrum Brugge, De Spil Roeselare, Schouwburg Kortrijk, cc </w:t>
      </w:r>
      <w:proofErr w:type="spellStart"/>
      <w:r w:rsidRPr="008B67D4">
        <w:rPr>
          <w:rFonts w:ascii="Verdana" w:hAnsi="Verdana"/>
          <w:sz w:val="24"/>
          <w:szCs w:val="24"/>
        </w:rPr>
        <w:t>CasinoKoksijde</w:t>
      </w:r>
      <w:proofErr w:type="spellEnd"/>
      <w:r w:rsidRPr="008B67D4">
        <w:rPr>
          <w:rFonts w:ascii="Verdana" w:hAnsi="Verdana"/>
          <w:sz w:val="24"/>
          <w:szCs w:val="24"/>
        </w:rPr>
        <w:t xml:space="preserve">, cc De Schakel Waregem, cc </w:t>
      </w:r>
      <w:proofErr w:type="spellStart"/>
      <w:r w:rsidRPr="008B67D4">
        <w:rPr>
          <w:rFonts w:ascii="Verdana" w:hAnsi="Verdana"/>
          <w:sz w:val="24"/>
          <w:szCs w:val="24"/>
        </w:rPr>
        <w:t>Scharpoord</w:t>
      </w:r>
      <w:proofErr w:type="spellEnd"/>
      <w:r w:rsidRPr="008B67D4">
        <w:rPr>
          <w:rFonts w:ascii="Verdana" w:hAnsi="Verdana"/>
          <w:sz w:val="24"/>
          <w:szCs w:val="24"/>
        </w:rPr>
        <w:t xml:space="preserve"> Knokke-Heist, cc Blankenberge, cc Het Spoor Harelbeke, cc De Steiger Menen, cc De </w:t>
      </w:r>
      <w:proofErr w:type="spellStart"/>
      <w:r w:rsidRPr="008B67D4">
        <w:rPr>
          <w:rFonts w:ascii="Verdana" w:hAnsi="Verdana"/>
          <w:sz w:val="24"/>
          <w:szCs w:val="24"/>
        </w:rPr>
        <w:t>Brouckere</w:t>
      </w:r>
      <w:proofErr w:type="spellEnd"/>
      <w:r w:rsidRPr="008B67D4">
        <w:rPr>
          <w:rFonts w:ascii="Verdana" w:hAnsi="Verdana"/>
          <w:sz w:val="24"/>
          <w:szCs w:val="24"/>
        </w:rPr>
        <w:t xml:space="preserve"> Torhout, cc Wevelgem en cc Het Perron Ieper.</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b/>
          <w:bCs/>
          <w:sz w:val="24"/>
          <w:szCs w:val="24"/>
        </w:rPr>
        <w:t>Bij de Buren</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sz w:val="24"/>
          <w:szCs w:val="24"/>
        </w:rPr>
        <w:t>Onder de noemer ‘Bij de Buren’ maken West-Vlaamse cultuurhuizen reeds enkele jaren een selectie uit elkaars programma en nemen hun publiek met de bus mee naar een voorstelling bij hun cultuurburen. In die selectie bevinden zich zowel grote producties als jong werk. Op die manier vergroten de cultuurpartners het aanbod voor hun publiek, hebben gezelschappen een gegarandeerde speelplek in West-Vlaanderen en kunnen de programmatoren onbekendere artiesten een kans geven en tegelijk het risico beperken.</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sz w:val="24"/>
          <w:szCs w:val="24"/>
        </w:rPr>
        <w:t>De reis is bovendien even leuk als de bestemming. Op de bus geniet je van een inleiding op de voorstelling en een lichte maaltijd.</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b/>
          <w:bCs/>
          <w:sz w:val="24"/>
          <w:szCs w:val="24"/>
        </w:rPr>
        <w:t>Minder uitstoot, meer cultuur</w:t>
      </w:r>
    </w:p>
    <w:p w:rsidR="008B67D4" w:rsidRPr="008B67D4" w:rsidRDefault="008B67D4" w:rsidP="008B67D4">
      <w:pPr>
        <w:rPr>
          <w:rFonts w:ascii="Verdana" w:hAnsi="Verdana"/>
          <w:sz w:val="24"/>
          <w:szCs w:val="24"/>
        </w:rPr>
      </w:pPr>
    </w:p>
    <w:p w:rsidR="008B67D4" w:rsidRPr="008B67D4" w:rsidRDefault="008B67D4" w:rsidP="008B67D4">
      <w:pPr>
        <w:rPr>
          <w:rFonts w:ascii="Verdana" w:hAnsi="Verdana"/>
          <w:sz w:val="24"/>
          <w:szCs w:val="24"/>
        </w:rPr>
      </w:pPr>
      <w:r w:rsidRPr="008B67D4">
        <w:rPr>
          <w:rFonts w:ascii="Verdana" w:hAnsi="Verdana"/>
          <w:sz w:val="24"/>
          <w:szCs w:val="24"/>
        </w:rPr>
        <w:t>Naast het artistieke en sociale aspect wil het partnerschap dit jaar nu ook het ecologische aspect van ‘Bij de Buren’ benadrukken. Dertig mensen op een bus is beter dan dertig auto’s in de file. Maar dat kan nog beter.</w:t>
      </w:r>
    </w:p>
    <w:p w:rsidR="008B67D4" w:rsidRPr="008B67D4" w:rsidRDefault="008B67D4" w:rsidP="008B67D4">
      <w:pPr>
        <w:rPr>
          <w:rFonts w:ascii="Verdana" w:hAnsi="Verdana"/>
          <w:sz w:val="24"/>
          <w:szCs w:val="24"/>
        </w:rPr>
      </w:pPr>
      <w:r w:rsidRPr="008B67D4">
        <w:rPr>
          <w:rFonts w:ascii="Verdana" w:hAnsi="Verdana"/>
          <w:sz w:val="24"/>
          <w:szCs w:val="24"/>
        </w:rPr>
        <w:t>In Wouter Deprez en BOS+ vond ‘Bij de Buren’ twee enthousiaste partners. Per gereden kilometer naar de buren gaat € 1 naar een bebossingsproject in Melle, Merelbeke en Oosterzele. Dankzij het project worden akkers tussen drie opgedeelde stukken bos dankzij 300 nieuwe bomen terug samengebracht tot een geheel. ‘Bij de Buren’ brengt met de actie zodoende oude buren terug bij elkaar.</w:t>
      </w:r>
    </w:p>
    <w:p w:rsidR="00A9745B" w:rsidRPr="008B67D4" w:rsidRDefault="00A9745B" w:rsidP="008B67D4">
      <w:bookmarkStart w:id="0" w:name="_GoBack"/>
      <w:bookmarkEnd w:id="0"/>
    </w:p>
    <w:sectPr w:rsidR="00A9745B" w:rsidRPr="008B67D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F3" w:rsidRDefault="003A6DF3" w:rsidP="00AE5835">
      <w:r>
        <w:separator/>
      </w:r>
    </w:p>
  </w:endnote>
  <w:endnote w:type="continuationSeparator" w:id="0">
    <w:p w:rsidR="003A6DF3" w:rsidRDefault="003A6D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F3" w:rsidRDefault="003A6DF3" w:rsidP="00AE5835">
      <w:r>
        <w:separator/>
      </w:r>
    </w:p>
  </w:footnote>
  <w:footnote w:type="continuationSeparator" w:id="0">
    <w:p w:rsidR="003A6DF3" w:rsidRDefault="003A6D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068" w:rsidRDefault="000C0068" w:rsidP="00DD05EE">
    <w:pPr>
      <w:pStyle w:val="Koptekst"/>
      <w:jc w:val="right"/>
      <w:rPr>
        <w:rFonts w:ascii="Verdana" w:hAnsi="Verdana"/>
        <w:b/>
      </w:rPr>
    </w:pPr>
    <w:r w:rsidRPr="008B67D4">
      <w:rPr>
        <w:rFonts w:ascii="Verdana" w:hAnsi="Verdana"/>
        <w:b/>
      </w:rPr>
      <w:t>Cultuurcentrum Brugge</w:t>
    </w:r>
    <w:r w:rsidRPr="008B67D4">
      <w:rPr>
        <w:rFonts w:ascii="Verdana" w:hAnsi="Verdana"/>
        <w:b/>
      </w:rPr>
      <w:br/>
    </w:r>
    <w:r w:rsidR="00EE223D">
      <w:rPr>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8B67D4">
      <w:rPr>
        <w:rFonts w:ascii="Verdana" w:hAnsi="Verdana"/>
        <w:b/>
      </w:rPr>
      <w:t>Bij de Buren</w:t>
    </w:r>
    <w:r w:rsidR="00EE223D" w:rsidRPr="008B67D4">
      <w:rPr>
        <w:rFonts w:ascii="Verdana" w:hAnsi="Verdana"/>
        <w:b/>
      </w:rPr>
      <w:br/>
    </w:r>
    <w:r w:rsidRPr="008B67D4">
      <w:rPr>
        <w:rFonts w:ascii="Verdana" w:hAnsi="Verdana"/>
        <w:b/>
      </w:rPr>
      <w:br/>
    </w:r>
  </w:p>
  <w:p w:rsidR="008B67D4" w:rsidRDefault="008B67D4" w:rsidP="00DD05EE">
    <w:pPr>
      <w:pStyle w:val="Koptekst"/>
      <w:jc w:val="right"/>
      <w:rPr>
        <w:rFonts w:ascii="Verdana" w:hAnsi="Verdana"/>
        <w:b/>
      </w:rPr>
    </w:pPr>
  </w:p>
  <w:p w:rsidR="008B67D4" w:rsidRDefault="008B67D4" w:rsidP="00DD05EE">
    <w:pPr>
      <w:pStyle w:val="Koptekst"/>
      <w:jc w:val="right"/>
      <w:rPr>
        <w:rFonts w:ascii="Verdana" w:hAnsi="Verdana"/>
        <w:b/>
      </w:rPr>
    </w:pPr>
  </w:p>
  <w:p w:rsidR="008B67D4" w:rsidRPr="008B67D4" w:rsidRDefault="008B67D4" w:rsidP="00DD05EE">
    <w:pPr>
      <w:pStyle w:val="Koptekst"/>
      <w:jc w:val="right"/>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3.25pt;height:18.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7060"/>
    <w:rsid w:val="00036126"/>
    <w:rsid w:val="00056F34"/>
    <w:rsid w:val="0007749B"/>
    <w:rsid w:val="00082BF3"/>
    <w:rsid w:val="000B3CD2"/>
    <w:rsid w:val="000C0068"/>
    <w:rsid w:val="000D65BD"/>
    <w:rsid w:val="00122CD6"/>
    <w:rsid w:val="0012470D"/>
    <w:rsid w:val="00162C84"/>
    <w:rsid w:val="001A43B3"/>
    <w:rsid w:val="001A7AF5"/>
    <w:rsid w:val="001B6E27"/>
    <w:rsid w:val="001E3E24"/>
    <w:rsid w:val="00236CD5"/>
    <w:rsid w:val="002774B7"/>
    <w:rsid w:val="00277B4F"/>
    <w:rsid w:val="002A1229"/>
    <w:rsid w:val="002A2630"/>
    <w:rsid w:val="002A3A3D"/>
    <w:rsid w:val="002A4BAC"/>
    <w:rsid w:val="002F2721"/>
    <w:rsid w:val="002F5532"/>
    <w:rsid w:val="00315892"/>
    <w:rsid w:val="00320F71"/>
    <w:rsid w:val="00326B45"/>
    <w:rsid w:val="00355920"/>
    <w:rsid w:val="00356C5A"/>
    <w:rsid w:val="00377F03"/>
    <w:rsid w:val="00396D1C"/>
    <w:rsid w:val="003A6DF3"/>
    <w:rsid w:val="003B5637"/>
    <w:rsid w:val="003C5743"/>
    <w:rsid w:val="003F245F"/>
    <w:rsid w:val="003F26B9"/>
    <w:rsid w:val="004253DA"/>
    <w:rsid w:val="00434E3E"/>
    <w:rsid w:val="00442652"/>
    <w:rsid w:val="0048616E"/>
    <w:rsid w:val="004B62AA"/>
    <w:rsid w:val="004D6BBC"/>
    <w:rsid w:val="00500897"/>
    <w:rsid w:val="005241C1"/>
    <w:rsid w:val="005325A9"/>
    <w:rsid w:val="00536A45"/>
    <w:rsid w:val="005573D0"/>
    <w:rsid w:val="005A58D6"/>
    <w:rsid w:val="00605A68"/>
    <w:rsid w:val="0060784A"/>
    <w:rsid w:val="00611464"/>
    <w:rsid w:val="006216E8"/>
    <w:rsid w:val="0063200F"/>
    <w:rsid w:val="00636CB4"/>
    <w:rsid w:val="00645CE5"/>
    <w:rsid w:val="006A03D7"/>
    <w:rsid w:val="006B23CA"/>
    <w:rsid w:val="006E3489"/>
    <w:rsid w:val="00717415"/>
    <w:rsid w:val="00735638"/>
    <w:rsid w:val="00747B3F"/>
    <w:rsid w:val="00765536"/>
    <w:rsid w:val="007A47F3"/>
    <w:rsid w:val="007B0409"/>
    <w:rsid w:val="007C0E5E"/>
    <w:rsid w:val="007D2727"/>
    <w:rsid w:val="007E1CF9"/>
    <w:rsid w:val="007F61C8"/>
    <w:rsid w:val="008254AA"/>
    <w:rsid w:val="00834470"/>
    <w:rsid w:val="008465FF"/>
    <w:rsid w:val="008709C6"/>
    <w:rsid w:val="00882563"/>
    <w:rsid w:val="0088399C"/>
    <w:rsid w:val="00886E84"/>
    <w:rsid w:val="008B67D4"/>
    <w:rsid w:val="008B7B9F"/>
    <w:rsid w:val="008D4A29"/>
    <w:rsid w:val="008E4979"/>
    <w:rsid w:val="00902588"/>
    <w:rsid w:val="009429F9"/>
    <w:rsid w:val="00950B14"/>
    <w:rsid w:val="00951911"/>
    <w:rsid w:val="00952DA6"/>
    <w:rsid w:val="00956D63"/>
    <w:rsid w:val="00967177"/>
    <w:rsid w:val="0097260D"/>
    <w:rsid w:val="00972A09"/>
    <w:rsid w:val="00990156"/>
    <w:rsid w:val="00990B46"/>
    <w:rsid w:val="009A0114"/>
    <w:rsid w:val="009E15D0"/>
    <w:rsid w:val="009F7861"/>
    <w:rsid w:val="00A1339D"/>
    <w:rsid w:val="00A15FC5"/>
    <w:rsid w:val="00A20BD5"/>
    <w:rsid w:val="00A26140"/>
    <w:rsid w:val="00A9657B"/>
    <w:rsid w:val="00A9745B"/>
    <w:rsid w:val="00AB35B3"/>
    <w:rsid w:val="00AC0D06"/>
    <w:rsid w:val="00AE2D42"/>
    <w:rsid w:val="00AE5835"/>
    <w:rsid w:val="00AF48B4"/>
    <w:rsid w:val="00B22AF0"/>
    <w:rsid w:val="00B23C45"/>
    <w:rsid w:val="00B25FF3"/>
    <w:rsid w:val="00B44BC2"/>
    <w:rsid w:val="00B45178"/>
    <w:rsid w:val="00B545B2"/>
    <w:rsid w:val="00B633C4"/>
    <w:rsid w:val="00B90E6F"/>
    <w:rsid w:val="00BF6BD4"/>
    <w:rsid w:val="00C402AA"/>
    <w:rsid w:val="00C51CF7"/>
    <w:rsid w:val="00C86226"/>
    <w:rsid w:val="00C96812"/>
    <w:rsid w:val="00CA3A2A"/>
    <w:rsid w:val="00CC6252"/>
    <w:rsid w:val="00CF3251"/>
    <w:rsid w:val="00CF7E1C"/>
    <w:rsid w:val="00D02452"/>
    <w:rsid w:val="00D269CF"/>
    <w:rsid w:val="00D33B3F"/>
    <w:rsid w:val="00D4432C"/>
    <w:rsid w:val="00D5219E"/>
    <w:rsid w:val="00D55240"/>
    <w:rsid w:val="00D57751"/>
    <w:rsid w:val="00DA5F6E"/>
    <w:rsid w:val="00DD05EE"/>
    <w:rsid w:val="00E11CD9"/>
    <w:rsid w:val="00E15E67"/>
    <w:rsid w:val="00E17ED2"/>
    <w:rsid w:val="00E32D5D"/>
    <w:rsid w:val="00E416C8"/>
    <w:rsid w:val="00E6528A"/>
    <w:rsid w:val="00E802CC"/>
    <w:rsid w:val="00E82A58"/>
    <w:rsid w:val="00EA12A1"/>
    <w:rsid w:val="00EA3252"/>
    <w:rsid w:val="00EE223D"/>
    <w:rsid w:val="00EF6F8C"/>
    <w:rsid w:val="00F35C36"/>
    <w:rsid w:val="00F7425F"/>
    <w:rsid w:val="00FB2863"/>
    <w:rsid w:val="00FD5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8ADF1"/>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C86226"/>
    <w:pPr>
      <w:spacing w:before="100" w:beforeAutospacing="1" w:after="100" w:afterAutospacing="1"/>
    </w:pPr>
    <w:rPr>
      <w:rFonts w:ascii="Times New Roman" w:eastAsia="Times New Roman" w:hAnsi="Times New Roman" w:cs="Times New Roman"/>
      <w:sz w:val="24"/>
      <w:szCs w:val="24"/>
    </w:rPr>
  </w:style>
  <w:style w:type="paragraph" w:customStyle="1" w:styleId="gmail-m6276462414867737676msolistparagraph">
    <w:name w:val="gmail-m_6276462414867737676msolistparagraph"/>
    <w:basedOn w:val="Standaard"/>
    <w:rsid w:val="008D4A29"/>
    <w:pPr>
      <w:spacing w:before="100" w:beforeAutospacing="1" w:after="100" w:afterAutospacing="1"/>
    </w:pPr>
  </w:style>
  <w:style w:type="paragraph" w:styleId="Geenafstand">
    <w:name w:val="No Spacing"/>
    <w:uiPriority w:val="1"/>
    <w:qFormat/>
    <w:rsid w:val="008B6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6681">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138111584">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96314507">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22C31-4213-4B21-B42D-B78725D4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1728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2</cp:revision>
  <cp:lastPrinted>2019-08-30T12:54:00Z</cp:lastPrinted>
  <dcterms:created xsi:type="dcterms:W3CDTF">2020-02-11T16:29:00Z</dcterms:created>
  <dcterms:modified xsi:type="dcterms:W3CDTF">2020-02-11T16:29:00Z</dcterms:modified>
</cp:coreProperties>
</file>